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414DA926" w:rsidR="0004114E" w:rsidRDefault="00110A08" w:rsidP="0004114E">
                            <w:pPr>
                              <w:spacing w:after="0"/>
                              <w:jc w:val="center"/>
                              <w:rPr>
                                <w:rFonts w:ascii="Roboto" w:hAnsi="Roboto"/>
                                <w:b/>
                                <w:bCs/>
                                <w:color w:val="265216"/>
                                <w:sz w:val="40"/>
                                <w:szCs w:val="40"/>
                              </w:rPr>
                            </w:pPr>
                            <w:r>
                              <w:rPr>
                                <w:rFonts w:ascii="Roboto" w:hAnsi="Roboto"/>
                                <w:b/>
                                <w:bCs/>
                                <w:color w:val="265216"/>
                                <w:sz w:val="40"/>
                                <w:szCs w:val="40"/>
                              </w:rPr>
                              <w:t>Occupational Exposure to Bloodborne Pathogens</w:t>
                            </w:r>
                          </w:p>
                          <w:p w14:paraId="1D9D22E1" w14:textId="61EA1FAF"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110A08">
                              <w:rPr>
                                <w:rFonts w:ascii="Roboto" w:hAnsi="Roboto"/>
                                <w:b/>
                                <w:bCs/>
                                <w:color w:val="265216"/>
                                <w:sz w:val="40"/>
                                <w:szCs w:val="40"/>
                              </w:rPr>
                              <w:t>7260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414DA926" w:rsidR="0004114E" w:rsidRDefault="00110A08" w:rsidP="0004114E">
                      <w:pPr>
                        <w:spacing w:after="0"/>
                        <w:jc w:val="center"/>
                        <w:rPr>
                          <w:rFonts w:ascii="Roboto" w:hAnsi="Roboto"/>
                          <w:b/>
                          <w:bCs/>
                          <w:color w:val="265216"/>
                          <w:sz w:val="40"/>
                          <w:szCs w:val="40"/>
                        </w:rPr>
                      </w:pPr>
                      <w:r>
                        <w:rPr>
                          <w:rFonts w:ascii="Roboto" w:hAnsi="Roboto"/>
                          <w:b/>
                          <w:bCs/>
                          <w:color w:val="265216"/>
                          <w:sz w:val="40"/>
                          <w:szCs w:val="40"/>
                        </w:rPr>
                        <w:t>Occupational Exposure to Bloodborne Pathogens</w:t>
                      </w:r>
                    </w:p>
                    <w:p w14:paraId="1D9D22E1" w14:textId="61EA1FAF"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110A08">
                        <w:rPr>
                          <w:rFonts w:ascii="Roboto" w:hAnsi="Roboto"/>
                          <w:b/>
                          <w:bCs/>
                          <w:color w:val="265216"/>
                          <w:sz w:val="40"/>
                          <w:szCs w:val="40"/>
                        </w:rPr>
                        <w:t>7260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066E669D">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6CAA85C" w14:textId="0C82C4CE" w:rsidR="004E4CCF" w:rsidRDefault="00110A08" w:rsidP="00784B60">
      <w:pPr>
        <w:pStyle w:val="ListParagraph"/>
        <w:ind w:left="0"/>
        <w:rPr>
          <w:rFonts w:ascii="Roboto" w:hAnsi="Roboto"/>
        </w:rPr>
      </w:pPr>
      <w:r>
        <w:rPr>
          <w:rFonts w:ascii="Roboto" w:hAnsi="Roboto"/>
        </w:rPr>
        <w:t>The Eastern North Carolina School for the Deaf (ENCSD) is committed to maintaining a safe and healthy educational environment for students, staff, and visitors.  Employees of the school may occasionally encounter blood or other potentially infectious materials while performing their duties.</w:t>
      </w:r>
    </w:p>
    <w:p w14:paraId="15E291FB" w14:textId="4A629A29" w:rsidR="00A16E12" w:rsidRPr="00A16E12" w:rsidRDefault="00391E7D" w:rsidP="00A16E12">
      <w:pPr>
        <w:rPr>
          <w:rFonts w:ascii="Roboto" w:hAnsi="Roboto"/>
        </w:rPr>
      </w:pPr>
      <w:r>
        <w:rPr>
          <w:rFonts w:ascii="Roboto" w:hAnsi="Roboto"/>
        </w:rPr>
        <w:t>This policy establishes procedures to reduce or eliminate occupational exposure to bloodborne pathogens and to ensure compliance with applicable federal and state regulations</w:t>
      </w:r>
      <w:r w:rsidR="00ED56FC">
        <w:rPr>
          <w:rFonts w:ascii="Roboto" w:hAnsi="Roboto"/>
        </w:rPr>
        <w:t>, including the Occupational Safety and Health Administration (OSHA) Bloodborne Pathogens Standard.  The school will take appropriate steps to protect employees from exposure to infectious materials that may cause disease or serious health conditions.</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17073198" w:rsidR="00784B60" w:rsidRPr="00784B60" w:rsidRDefault="00ED56FC" w:rsidP="00784B60">
      <w:pPr>
        <w:rPr>
          <w:rFonts w:ascii="Roboto" w:hAnsi="Roboto"/>
          <w:b/>
          <w:bCs/>
        </w:rPr>
      </w:pPr>
      <w:r>
        <w:rPr>
          <w:rFonts w:ascii="Roboto" w:hAnsi="Roboto"/>
          <w:b/>
          <w:bCs/>
        </w:rPr>
        <w:t>Definitions</w:t>
      </w:r>
    </w:p>
    <w:p w14:paraId="661E2C3F" w14:textId="3869B103" w:rsidR="00784B60" w:rsidRDefault="004F210B" w:rsidP="00784B60">
      <w:pPr>
        <w:rPr>
          <w:rFonts w:ascii="Roboto" w:hAnsi="Roboto"/>
        </w:rPr>
      </w:pPr>
      <w:r>
        <w:rPr>
          <w:rFonts w:ascii="Roboto" w:hAnsi="Roboto"/>
        </w:rPr>
        <w:t>For the purposes of this policy, the following definitions apply:</w:t>
      </w:r>
    </w:p>
    <w:p w14:paraId="30A64B9E" w14:textId="5EB5B1F6" w:rsidR="004F210B" w:rsidRDefault="004F210B" w:rsidP="004F210B">
      <w:pPr>
        <w:pStyle w:val="ListParagraph"/>
        <w:numPr>
          <w:ilvl w:val="0"/>
          <w:numId w:val="21"/>
        </w:numPr>
        <w:rPr>
          <w:rFonts w:ascii="Roboto" w:hAnsi="Roboto"/>
        </w:rPr>
      </w:pPr>
      <w:r>
        <w:rPr>
          <w:rFonts w:ascii="Roboto" w:hAnsi="Roboto"/>
          <w:b/>
          <w:bCs/>
        </w:rPr>
        <w:t>Bloodborne Pathogens:</w:t>
      </w:r>
      <w:r>
        <w:rPr>
          <w:rFonts w:ascii="Roboto" w:hAnsi="Roboto"/>
        </w:rPr>
        <w:t xml:space="preserve"> Pathogenic microorganisms that are present in human blood and can cause disease in humans.  Examples include, but are not limited to, hepatitis B virus (HBV), hepatitis C virus (HVC), and human immunodeficiency virus (HIV).</w:t>
      </w:r>
    </w:p>
    <w:p w14:paraId="6DB16AC4" w14:textId="25C651AB" w:rsidR="004F210B" w:rsidRDefault="004F210B" w:rsidP="004F210B">
      <w:pPr>
        <w:pStyle w:val="ListParagraph"/>
        <w:numPr>
          <w:ilvl w:val="0"/>
          <w:numId w:val="21"/>
        </w:numPr>
        <w:rPr>
          <w:rFonts w:ascii="Roboto" w:hAnsi="Roboto"/>
        </w:rPr>
      </w:pPr>
      <w:r>
        <w:rPr>
          <w:rFonts w:ascii="Roboto" w:hAnsi="Roboto"/>
          <w:b/>
          <w:bCs/>
        </w:rPr>
        <w:t>Occupational Exposure:</w:t>
      </w:r>
      <w:r>
        <w:rPr>
          <w:rFonts w:ascii="Roboto" w:hAnsi="Roboto"/>
        </w:rPr>
        <w:t xml:space="preserve"> Reasonably anticipated skin, eye, mucous membrane, or parenteral contact with blood or other </w:t>
      </w:r>
      <w:r w:rsidR="00246D54">
        <w:rPr>
          <w:rFonts w:ascii="Roboto" w:hAnsi="Roboto"/>
        </w:rPr>
        <w:t xml:space="preserve">potentially infectious materials that may occur </w:t>
      </w:r>
      <w:proofErr w:type="gramStart"/>
      <w:r w:rsidR="00246D54">
        <w:rPr>
          <w:rFonts w:ascii="Roboto" w:hAnsi="Roboto"/>
        </w:rPr>
        <w:t>as a result of</w:t>
      </w:r>
      <w:proofErr w:type="gramEnd"/>
      <w:r w:rsidR="00246D54">
        <w:rPr>
          <w:rFonts w:ascii="Roboto" w:hAnsi="Roboto"/>
        </w:rPr>
        <w:t xml:space="preserve"> an employee’s assigned job duties.</w:t>
      </w:r>
    </w:p>
    <w:p w14:paraId="2C938059" w14:textId="3BBA607D" w:rsidR="00246D54" w:rsidRDefault="00246D54" w:rsidP="004F210B">
      <w:pPr>
        <w:pStyle w:val="ListParagraph"/>
        <w:numPr>
          <w:ilvl w:val="0"/>
          <w:numId w:val="21"/>
        </w:numPr>
        <w:rPr>
          <w:rFonts w:ascii="Roboto" w:hAnsi="Roboto"/>
        </w:rPr>
      </w:pPr>
      <w:r>
        <w:rPr>
          <w:rFonts w:ascii="Roboto" w:hAnsi="Roboto"/>
          <w:b/>
          <w:bCs/>
        </w:rPr>
        <w:t>Exposure Incident:</w:t>
      </w:r>
      <w:r>
        <w:rPr>
          <w:rFonts w:ascii="Roboto" w:hAnsi="Roboto"/>
        </w:rPr>
        <w:t xml:space="preserve"> A specific eye, mouth, mucous membrane, non-intact skin, or parenteral contact with blood or other potentially infectious materials that occurs during the performance of an employee’s duties.</w:t>
      </w:r>
    </w:p>
    <w:p w14:paraId="428FC4A6" w14:textId="536CE879" w:rsidR="00246D54" w:rsidRDefault="000F0DBE" w:rsidP="004F210B">
      <w:pPr>
        <w:pStyle w:val="ListParagraph"/>
        <w:numPr>
          <w:ilvl w:val="0"/>
          <w:numId w:val="21"/>
        </w:numPr>
        <w:rPr>
          <w:rFonts w:ascii="Roboto" w:hAnsi="Roboto"/>
        </w:rPr>
      </w:pPr>
      <w:r>
        <w:rPr>
          <w:rFonts w:ascii="Roboto" w:hAnsi="Roboto"/>
          <w:b/>
          <w:bCs/>
        </w:rPr>
        <w:t>Other Potentially Infectious Materials (OPIM):</w:t>
      </w:r>
      <w:r>
        <w:rPr>
          <w:rFonts w:ascii="Roboto" w:hAnsi="Roboto"/>
        </w:rPr>
        <w:t xml:space="preserve"> Human body fluids or materials that may contain bloodborne pathogens, including fluids visibly contaminated with blood.</w:t>
      </w:r>
    </w:p>
    <w:p w14:paraId="0DA4045B" w14:textId="18B3EF6C" w:rsidR="000F0DBE" w:rsidRPr="004F210B" w:rsidRDefault="000F0DBE" w:rsidP="004F210B">
      <w:pPr>
        <w:pStyle w:val="ListParagraph"/>
        <w:numPr>
          <w:ilvl w:val="0"/>
          <w:numId w:val="21"/>
        </w:numPr>
        <w:rPr>
          <w:rFonts w:ascii="Roboto" w:hAnsi="Roboto"/>
        </w:rPr>
      </w:pPr>
      <w:r>
        <w:rPr>
          <w:rFonts w:ascii="Roboto" w:hAnsi="Roboto"/>
          <w:b/>
          <w:bCs/>
        </w:rPr>
        <w:lastRenderedPageBreak/>
        <w:t>Universal Precautions:</w:t>
      </w:r>
      <w:r>
        <w:rPr>
          <w:rFonts w:ascii="Roboto" w:hAnsi="Roboto"/>
        </w:rPr>
        <w:t xml:space="preserve"> An infection control approach that treats all blood and certain body fluids as if they are known to be infectious and requires the use of appropriate protective measures. </w:t>
      </w:r>
    </w:p>
    <w:p w14:paraId="08A1B4B8" w14:textId="2041D06F" w:rsidR="00D34416" w:rsidRPr="00D34416" w:rsidRDefault="00000000" w:rsidP="00D34416">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32B38AFB" w:rsidR="00784B60" w:rsidRP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2561C7">
        <w:rPr>
          <w:rFonts w:ascii="Roboto" w:hAnsi="Roboto"/>
          <w:b/>
          <w:bCs/>
        </w:rPr>
        <w:t>Employees with Reasonably Anticipated Occupational Exposure</w:t>
      </w:r>
    </w:p>
    <w:p w14:paraId="3F639233" w14:textId="64DA151E" w:rsidR="0028647E" w:rsidRDefault="002F087D" w:rsidP="00C3234D">
      <w:pPr>
        <w:rPr>
          <w:rFonts w:ascii="Roboto" w:hAnsi="Roboto"/>
        </w:rPr>
      </w:pPr>
      <w:r>
        <w:rPr>
          <w:rFonts w:ascii="Roboto" w:hAnsi="Roboto"/>
        </w:rPr>
        <w:t xml:space="preserve">Employees whose job duties may reasonably result in contact with blood or other potentially infectious materials are covered under the OSHA Bloodborne Pathogens Standard and this policy.  </w:t>
      </w:r>
      <w:r w:rsidR="00DC4429">
        <w:rPr>
          <w:rFonts w:ascii="Roboto" w:hAnsi="Roboto"/>
        </w:rPr>
        <w:t>Such employees may include, but are not limited to:</w:t>
      </w:r>
    </w:p>
    <w:p w14:paraId="606C8BE1" w14:textId="2543881F" w:rsidR="00DC4429" w:rsidRDefault="00DC4429" w:rsidP="00DC4429">
      <w:pPr>
        <w:pStyle w:val="ListParagraph"/>
        <w:numPr>
          <w:ilvl w:val="0"/>
          <w:numId w:val="22"/>
        </w:numPr>
        <w:rPr>
          <w:rFonts w:ascii="Roboto" w:hAnsi="Roboto"/>
        </w:rPr>
      </w:pPr>
      <w:r>
        <w:rPr>
          <w:rFonts w:ascii="Roboto" w:hAnsi="Roboto"/>
        </w:rPr>
        <w:t>School nurses and health services staff</w:t>
      </w:r>
    </w:p>
    <w:p w14:paraId="1A8C11F8" w14:textId="7A1BD7A8" w:rsidR="00DC4429" w:rsidRDefault="00DC4429" w:rsidP="00DC4429">
      <w:pPr>
        <w:pStyle w:val="ListParagraph"/>
        <w:numPr>
          <w:ilvl w:val="0"/>
          <w:numId w:val="22"/>
        </w:numPr>
        <w:rPr>
          <w:rFonts w:ascii="Roboto" w:hAnsi="Roboto"/>
        </w:rPr>
      </w:pPr>
      <w:r>
        <w:rPr>
          <w:rFonts w:ascii="Roboto" w:hAnsi="Roboto"/>
        </w:rPr>
        <w:t>Residential life staff and supervisors</w:t>
      </w:r>
    </w:p>
    <w:p w14:paraId="79A07E6C" w14:textId="6EA6F2B4" w:rsidR="00DC4429" w:rsidRDefault="00DC4429" w:rsidP="00DC4429">
      <w:pPr>
        <w:pStyle w:val="ListParagraph"/>
        <w:numPr>
          <w:ilvl w:val="0"/>
          <w:numId w:val="22"/>
        </w:numPr>
        <w:rPr>
          <w:rFonts w:ascii="Roboto" w:hAnsi="Roboto"/>
        </w:rPr>
      </w:pPr>
      <w:r>
        <w:rPr>
          <w:rFonts w:ascii="Roboto" w:hAnsi="Roboto"/>
        </w:rPr>
        <w:t>Athletic staff and coaches</w:t>
      </w:r>
    </w:p>
    <w:p w14:paraId="172F120A" w14:textId="53125FA0" w:rsidR="00DC4429" w:rsidRDefault="00DC4429" w:rsidP="00DC4429">
      <w:pPr>
        <w:pStyle w:val="ListParagraph"/>
        <w:numPr>
          <w:ilvl w:val="0"/>
          <w:numId w:val="22"/>
        </w:numPr>
        <w:rPr>
          <w:rFonts w:ascii="Roboto" w:hAnsi="Roboto"/>
        </w:rPr>
      </w:pPr>
      <w:r>
        <w:rPr>
          <w:rFonts w:ascii="Roboto" w:hAnsi="Roboto"/>
        </w:rPr>
        <w:t>Custodial and maintenance personnel</w:t>
      </w:r>
    </w:p>
    <w:p w14:paraId="1A1ACBE7" w14:textId="0BA22FEF" w:rsidR="00DC4429" w:rsidRDefault="00DC4429" w:rsidP="00DC4429">
      <w:pPr>
        <w:pStyle w:val="ListParagraph"/>
        <w:numPr>
          <w:ilvl w:val="0"/>
          <w:numId w:val="22"/>
        </w:numPr>
        <w:rPr>
          <w:rFonts w:ascii="Roboto" w:hAnsi="Roboto"/>
        </w:rPr>
      </w:pPr>
      <w:r>
        <w:rPr>
          <w:rFonts w:ascii="Roboto" w:hAnsi="Roboto"/>
        </w:rPr>
        <w:t>Staff trained to administer first aid or emergency medical response</w:t>
      </w:r>
    </w:p>
    <w:p w14:paraId="1E4922EF" w14:textId="1EA923FE" w:rsidR="00DC4429" w:rsidRPr="00DC4429" w:rsidRDefault="00DC4429" w:rsidP="00DC4429">
      <w:pPr>
        <w:rPr>
          <w:rFonts w:ascii="Roboto" w:hAnsi="Roboto"/>
        </w:rPr>
      </w:pPr>
      <w:r>
        <w:rPr>
          <w:rFonts w:ascii="Roboto" w:hAnsi="Roboto"/>
        </w:rPr>
        <w:t>Incidental contact resulting from voluntary assistance, such as “Good Samaritan” acts, does not generally constitute reasonably anticipated occupational exposure.</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5B512491" w14:textId="77ECAB65" w:rsidR="00482106" w:rsidRDefault="00482106" w:rsidP="00784B60">
      <w:pPr>
        <w:rPr>
          <w:rFonts w:ascii="Roboto" w:hAnsi="Roboto"/>
          <w:b/>
          <w:bCs/>
        </w:rPr>
      </w:pPr>
      <w:r>
        <w:rPr>
          <w:rFonts w:ascii="Roboto" w:hAnsi="Roboto"/>
          <w:b/>
          <w:bCs/>
        </w:rPr>
        <w:t xml:space="preserve">II. </w:t>
      </w:r>
      <w:r w:rsidR="00DC4429">
        <w:rPr>
          <w:rFonts w:ascii="Roboto" w:hAnsi="Roboto"/>
          <w:b/>
          <w:bCs/>
        </w:rPr>
        <w:t>Universal Precautions</w:t>
      </w:r>
    </w:p>
    <w:p w14:paraId="0FE036E5" w14:textId="314399A2" w:rsidR="00482106" w:rsidRDefault="00BC0C3B" w:rsidP="00784B60">
      <w:pPr>
        <w:rPr>
          <w:rFonts w:ascii="Roboto" w:hAnsi="Roboto"/>
        </w:rPr>
      </w:pPr>
      <w:r>
        <w:rPr>
          <w:rFonts w:ascii="Roboto" w:hAnsi="Roboto"/>
        </w:rPr>
        <w:t xml:space="preserve">ENCSD will </w:t>
      </w:r>
      <w:proofErr w:type="gramStart"/>
      <w:r w:rsidR="00DC4429">
        <w:rPr>
          <w:rFonts w:ascii="Roboto" w:hAnsi="Roboto"/>
        </w:rPr>
        <w:t>enforce universal precautions at all times</w:t>
      </w:r>
      <w:proofErr w:type="gramEnd"/>
      <w:r w:rsidR="00DC4429">
        <w:rPr>
          <w:rFonts w:ascii="Roboto" w:hAnsi="Roboto"/>
        </w:rPr>
        <w:t>.  All blood and body fluids shall be treated as if they are infectious.</w:t>
      </w:r>
    </w:p>
    <w:p w14:paraId="382F902E" w14:textId="794965FA" w:rsidR="00DC4429" w:rsidRDefault="00DC4429" w:rsidP="00784B60">
      <w:pPr>
        <w:rPr>
          <w:rFonts w:ascii="Roboto" w:hAnsi="Roboto"/>
        </w:rPr>
      </w:pPr>
      <w:r>
        <w:rPr>
          <w:rFonts w:ascii="Roboto" w:hAnsi="Roboto"/>
        </w:rPr>
        <w:t>Employees must follow appropriate infection control procedures, including:</w:t>
      </w:r>
    </w:p>
    <w:p w14:paraId="3D8393D8" w14:textId="6A0FF29E" w:rsidR="00DC4429" w:rsidRDefault="00DC4429" w:rsidP="00DC4429">
      <w:pPr>
        <w:pStyle w:val="ListParagraph"/>
        <w:numPr>
          <w:ilvl w:val="0"/>
          <w:numId w:val="23"/>
        </w:numPr>
        <w:rPr>
          <w:rFonts w:ascii="Roboto" w:hAnsi="Roboto"/>
        </w:rPr>
      </w:pPr>
      <w:r>
        <w:rPr>
          <w:rFonts w:ascii="Roboto" w:hAnsi="Roboto"/>
        </w:rPr>
        <w:t>Using appropriate personal protective equipment (PPE) such as gloves or protective barriers when exposure is possible.</w:t>
      </w:r>
    </w:p>
    <w:p w14:paraId="7E6B9921" w14:textId="18B114B0" w:rsidR="00DC4429" w:rsidRDefault="00DC4429" w:rsidP="00DC4429">
      <w:pPr>
        <w:pStyle w:val="ListParagraph"/>
        <w:numPr>
          <w:ilvl w:val="0"/>
          <w:numId w:val="23"/>
        </w:numPr>
        <w:rPr>
          <w:rFonts w:ascii="Roboto" w:hAnsi="Roboto"/>
        </w:rPr>
      </w:pPr>
      <w:r>
        <w:rPr>
          <w:rFonts w:ascii="Roboto" w:hAnsi="Roboto"/>
        </w:rPr>
        <w:t>Practicing proper hand hygiene.</w:t>
      </w:r>
    </w:p>
    <w:p w14:paraId="517CDD34" w14:textId="4DE99C99" w:rsidR="00DC4429" w:rsidRDefault="00DC4429" w:rsidP="00DC4429">
      <w:pPr>
        <w:pStyle w:val="ListParagraph"/>
        <w:numPr>
          <w:ilvl w:val="0"/>
          <w:numId w:val="23"/>
        </w:numPr>
        <w:rPr>
          <w:rFonts w:ascii="Roboto" w:hAnsi="Roboto"/>
        </w:rPr>
      </w:pPr>
      <w:r>
        <w:rPr>
          <w:rFonts w:ascii="Roboto" w:hAnsi="Roboto"/>
        </w:rPr>
        <w:t>Properly disposing of contaminated materials.</w:t>
      </w:r>
    </w:p>
    <w:p w14:paraId="3E217365" w14:textId="60BD80F1" w:rsidR="00DC4429" w:rsidRPr="00DC4429" w:rsidRDefault="00DC4429" w:rsidP="00DC4429">
      <w:pPr>
        <w:pStyle w:val="ListParagraph"/>
        <w:numPr>
          <w:ilvl w:val="0"/>
          <w:numId w:val="23"/>
        </w:numPr>
        <w:rPr>
          <w:rFonts w:ascii="Roboto" w:hAnsi="Roboto"/>
        </w:rPr>
      </w:pPr>
      <w:r>
        <w:rPr>
          <w:rFonts w:ascii="Roboto" w:hAnsi="Roboto"/>
        </w:rPr>
        <w:t>Following approved cleaning and sanitation procedures.</w:t>
      </w:r>
    </w:p>
    <w:p w14:paraId="7137FC01" w14:textId="2E5C4A11" w:rsidR="0054636B" w:rsidRPr="0054636B" w:rsidRDefault="00000000" w:rsidP="0054636B">
      <w:pPr>
        <w:rPr>
          <w:rFonts w:ascii="Roboto" w:hAnsi="Roboto"/>
        </w:rPr>
      </w:pPr>
      <w:r>
        <w:pict w14:anchorId="2A021E97">
          <v:rect id="_x0000_i1028" style="width:0;height:1.5pt" o:hralign="center" o:hrstd="t" o:hr="t" fillcolor="#a0a0a0" stroked="f"/>
        </w:pict>
      </w:r>
    </w:p>
    <w:p w14:paraId="11642D3C" w14:textId="17256FAE" w:rsidR="0054636B" w:rsidRDefault="0054636B" w:rsidP="00784B60">
      <w:pPr>
        <w:rPr>
          <w:rFonts w:ascii="Roboto" w:hAnsi="Roboto"/>
          <w:b/>
          <w:bCs/>
        </w:rPr>
      </w:pPr>
      <w:r>
        <w:rPr>
          <w:rFonts w:ascii="Roboto" w:hAnsi="Roboto"/>
          <w:b/>
          <w:bCs/>
        </w:rPr>
        <w:t>I</w:t>
      </w:r>
      <w:r w:rsidR="00EB527E">
        <w:rPr>
          <w:rFonts w:ascii="Roboto" w:hAnsi="Roboto"/>
          <w:b/>
          <w:bCs/>
        </w:rPr>
        <w:t>II.</w:t>
      </w:r>
      <w:r>
        <w:rPr>
          <w:rFonts w:ascii="Roboto" w:hAnsi="Roboto"/>
          <w:b/>
          <w:bCs/>
        </w:rPr>
        <w:t xml:space="preserve"> </w:t>
      </w:r>
      <w:r w:rsidR="00EB527E">
        <w:rPr>
          <w:rFonts w:ascii="Roboto" w:hAnsi="Roboto"/>
          <w:b/>
          <w:bCs/>
        </w:rPr>
        <w:t xml:space="preserve">Exposure Control </w:t>
      </w:r>
      <w:r w:rsidR="00D822FC">
        <w:rPr>
          <w:rFonts w:ascii="Roboto" w:hAnsi="Roboto"/>
          <w:b/>
          <w:bCs/>
        </w:rPr>
        <w:t>Plan</w:t>
      </w:r>
    </w:p>
    <w:p w14:paraId="5B978029" w14:textId="3AC37E48" w:rsidR="0054636B" w:rsidRDefault="00D822FC" w:rsidP="00784B60">
      <w:pPr>
        <w:rPr>
          <w:rFonts w:ascii="Roboto" w:hAnsi="Roboto"/>
        </w:rPr>
      </w:pPr>
      <w:r>
        <w:rPr>
          <w:rFonts w:ascii="Roboto" w:hAnsi="Roboto"/>
        </w:rPr>
        <w:t>The Superintendent</w:t>
      </w:r>
      <w:r w:rsidR="004B53B3">
        <w:rPr>
          <w:rFonts w:ascii="Roboto" w:hAnsi="Roboto"/>
        </w:rPr>
        <w:t xml:space="preserve"> or designee shall develop and maintain a written Exposure Control Plan designed to eliminate or minimize occupational exposure.</w:t>
      </w:r>
    </w:p>
    <w:p w14:paraId="1F0412AA" w14:textId="2746088B" w:rsidR="00F42B89" w:rsidRDefault="00F42B89" w:rsidP="00784B60">
      <w:pPr>
        <w:rPr>
          <w:rFonts w:ascii="Roboto" w:hAnsi="Roboto"/>
        </w:rPr>
      </w:pPr>
      <w:r>
        <w:rPr>
          <w:rFonts w:ascii="Roboto" w:hAnsi="Roboto"/>
        </w:rPr>
        <w:t>At a minimum, the plan will include:</w:t>
      </w:r>
    </w:p>
    <w:p w14:paraId="7692C3FB" w14:textId="3B7536A0" w:rsidR="00F44F79" w:rsidRDefault="00F44F79" w:rsidP="00F44F79">
      <w:pPr>
        <w:pStyle w:val="ListParagraph"/>
        <w:numPr>
          <w:ilvl w:val="0"/>
          <w:numId w:val="24"/>
        </w:numPr>
        <w:rPr>
          <w:rFonts w:ascii="Roboto" w:hAnsi="Roboto"/>
        </w:rPr>
      </w:pPr>
      <w:r>
        <w:rPr>
          <w:rFonts w:ascii="Roboto" w:hAnsi="Roboto"/>
        </w:rPr>
        <w:t>Identification of employee classifications and tasks with potential exposure risk</w:t>
      </w:r>
      <w:r w:rsidR="00C1189C">
        <w:rPr>
          <w:rFonts w:ascii="Roboto" w:hAnsi="Roboto"/>
        </w:rPr>
        <w:t>.</w:t>
      </w:r>
    </w:p>
    <w:p w14:paraId="6F03B6D5" w14:textId="61A6401F" w:rsidR="00C1189C" w:rsidRDefault="00C1189C" w:rsidP="00F44F79">
      <w:pPr>
        <w:pStyle w:val="ListParagraph"/>
        <w:numPr>
          <w:ilvl w:val="0"/>
          <w:numId w:val="24"/>
        </w:numPr>
        <w:rPr>
          <w:rFonts w:ascii="Roboto" w:hAnsi="Roboto"/>
        </w:rPr>
      </w:pPr>
      <w:r>
        <w:rPr>
          <w:rFonts w:ascii="Roboto" w:hAnsi="Roboto"/>
        </w:rPr>
        <w:lastRenderedPageBreak/>
        <w:t>Implementation of engineering controls and safe work practices.</w:t>
      </w:r>
    </w:p>
    <w:p w14:paraId="3402439E" w14:textId="7AB2E538" w:rsidR="00C1189C" w:rsidRDefault="002C2486" w:rsidP="00F44F79">
      <w:pPr>
        <w:pStyle w:val="ListParagraph"/>
        <w:numPr>
          <w:ilvl w:val="0"/>
          <w:numId w:val="24"/>
        </w:numPr>
        <w:rPr>
          <w:rFonts w:ascii="Roboto" w:hAnsi="Roboto"/>
        </w:rPr>
      </w:pPr>
      <w:r>
        <w:rPr>
          <w:rFonts w:ascii="Roboto" w:hAnsi="Roboto"/>
        </w:rPr>
        <w:t>Availability and proper use of protective equipment.</w:t>
      </w:r>
    </w:p>
    <w:p w14:paraId="64F51A35" w14:textId="4856AB62" w:rsidR="002C2486" w:rsidRDefault="002C2486" w:rsidP="00F44F79">
      <w:pPr>
        <w:pStyle w:val="ListParagraph"/>
        <w:numPr>
          <w:ilvl w:val="0"/>
          <w:numId w:val="24"/>
        </w:numPr>
        <w:rPr>
          <w:rFonts w:ascii="Roboto" w:hAnsi="Roboto"/>
        </w:rPr>
      </w:pPr>
      <w:r>
        <w:rPr>
          <w:rFonts w:ascii="Roboto" w:hAnsi="Roboto"/>
        </w:rPr>
        <w:t>Procedures for reporting and responding to exposure incidents.</w:t>
      </w:r>
    </w:p>
    <w:p w14:paraId="66781777" w14:textId="3FFF5B09" w:rsidR="002C2486" w:rsidRDefault="002C2486" w:rsidP="00F44F79">
      <w:pPr>
        <w:pStyle w:val="ListParagraph"/>
        <w:numPr>
          <w:ilvl w:val="0"/>
          <w:numId w:val="24"/>
        </w:numPr>
        <w:rPr>
          <w:rFonts w:ascii="Roboto" w:hAnsi="Roboto"/>
        </w:rPr>
      </w:pPr>
      <w:r>
        <w:rPr>
          <w:rFonts w:ascii="Roboto" w:hAnsi="Roboto"/>
        </w:rPr>
        <w:t xml:space="preserve">Post-exposure </w:t>
      </w:r>
      <w:r w:rsidR="00475032">
        <w:rPr>
          <w:rFonts w:ascii="Roboto" w:hAnsi="Roboto"/>
        </w:rPr>
        <w:t>medical evaluation and follow-up procedures.</w:t>
      </w:r>
    </w:p>
    <w:p w14:paraId="34930831" w14:textId="316B308D" w:rsidR="00475032" w:rsidRDefault="00475032" w:rsidP="00F44F79">
      <w:pPr>
        <w:pStyle w:val="ListParagraph"/>
        <w:numPr>
          <w:ilvl w:val="0"/>
          <w:numId w:val="24"/>
        </w:numPr>
        <w:rPr>
          <w:rFonts w:ascii="Roboto" w:hAnsi="Roboto"/>
        </w:rPr>
      </w:pPr>
      <w:r>
        <w:rPr>
          <w:rFonts w:ascii="Roboto" w:hAnsi="Roboto"/>
        </w:rPr>
        <w:t>Hepatitis B vaccination availability for eligible employees.</w:t>
      </w:r>
    </w:p>
    <w:p w14:paraId="3E063BBB" w14:textId="0FFB2FFC" w:rsidR="00475032" w:rsidRDefault="00032A8E" w:rsidP="00F44F79">
      <w:pPr>
        <w:pStyle w:val="ListParagraph"/>
        <w:numPr>
          <w:ilvl w:val="0"/>
          <w:numId w:val="24"/>
        </w:numPr>
        <w:rPr>
          <w:rFonts w:ascii="Roboto" w:hAnsi="Roboto"/>
        </w:rPr>
      </w:pPr>
      <w:r>
        <w:rPr>
          <w:rFonts w:ascii="Roboto" w:hAnsi="Roboto"/>
        </w:rPr>
        <w:t>Employee training and communication procedures.</w:t>
      </w:r>
    </w:p>
    <w:p w14:paraId="08A19DBC" w14:textId="5D058281" w:rsidR="00032A8E" w:rsidRDefault="00032A8E" w:rsidP="00F44F79">
      <w:pPr>
        <w:pStyle w:val="ListParagraph"/>
        <w:numPr>
          <w:ilvl w:val="0"/>
          <w:numId w:val="24"/>
        </w:numPr>
        <w:rPr>
          <w:rFonts w:ascii="Roboto" w:hAnsi="Roboto"/>
        </w:rPr>
      </w:pPr>
      <w:r>
        <w:rPr>
          <w:rFonts w:ascii="Roboto" w:hAnsi="Roboto"/>
        </w:rPr>
        <w:t>Recordkeeping requirements.</w:t>
      </w:r>
    </w:p>
    <w:p w14:paraId="5926E2F4" w14:textId="0A880F4A" w:rsidR="00032A8E" w:rsidRPr="00032A8E" w:rsidRDefault="00032A8E" w:rsidP="00032A8E">
      <w:pPr>
        <w:rPr>
          <w:rFonts w:ascii="Roboto" w:hAnsi="Roboto"/>
        </w:rPr>
      </w:pPr>
      <w:r>
        <w:rPr>
          <w:rFonts w:ascii="Roboto" w:hAnsi="Roboto"/>
        </w:rPr>
        <w:t>The Exposure Control Plan</w:t>
      </w:r>
      <w:r w:rsidR="001C7673">
        <w:rPr>
          <w:rFonts w:ascii="Roboto" w:hAnsi="Roboto"/>
        </w:rPr>
        <w:t xml:space="preserve"> will be reviewed and updated at least annually and whenever necessary to reflect changes in procedures, technology, or job duties.</w:t>
      </w:r>
    </w:p>
    <w:p w14:paraId="0F74456F" w14:textId="77777777" w:rsidR="00F42B89" w:rsidRDefault="00F42B89" w:rsidP="00784B60">
      <w:pPr>
        <w:rPr>
          <w:rFonts w:ascii="Roboto" w:hAnsi="Roboto"/>
        </w:rPr>
      </w:pPr>
    </w:p>
    <w:p w14:paraId="37AFEB7B" w14:textId="09454BEC" w:rsidR="00B83766" w:rsidRPr="00B83766" w:rsidRDefault="00000000" w:rsidP="00B83766">
      <w:pPr>
        <w:rPr>
          <w:rFonts w:ascii="Roboto" w:hAnsi="Roboto"/>
        </w:rPr>
      </w:pPr>
      <w:r>
        <w:pict w14:anchorId="72E9AAAB">
          <v:rect id="_x0000_i1029" style="width:0;height:1.5pt" o:hralign="center" o:hrstd="t" o:hr="t" fillcolor="#a0a0a0" stroked="f"/>
        </w:pict>
      </w:r>
    </w:p>
    <w:p w14:paraId="0FB2B5F7" w14:textId="771796C0" w:rsidR="00B83766" w:rsidRDefault="00D24BB5" w:rsidP="00784B60">
      <w:pPr>
        <w:rPr>
          <w:rFonts w:ascii="Roboto" w:hAnsi="Roboto"/>
          <w:b/>
          <w:bCs/>
        </w:rPr>
      </w:pPr>
      <w:r>
        <w:rPr>
          <w:rFonts w:ascii="Roboto" w:hAnsi="Roboto"/>
          <w:b/>
          <w:bCs/>
        </w:rPr>
        <w:t>I</w:t>
      </w:r>
      <w:r w:rsidR="00B83766">
        <w:rPr>
          <w:rFonts w:ascii="Roboto" w:hAnsi="Roboto"/>
          <w:b/>
          <w:bCs/>
        </w:rPr>
        <w:t xml:space="preserve">V. </w:t>
      </w:r>
      <w:r>
        <w:rPr>
          <w:rFonts w:ascii="Roboto" w:hAnsi="Roboto"/>
          <w:b/>
          <w:bCs/>
        </w:rPr>
        <w:t>Employee Training</w:t>
      </w:r>
    </w:p>
    <w:p w14:paraId="2A236325" w14:textId="5BC9CF0A" w:rsidR="00B83766" w:rsidRDefault="00D24BB5" w:rsidP="000B00E7">
      <w:pPr>
        <w:rPr>
          <w:rFonts w:ascii="Roboto" w:hAnsi="Roboto"/>
        </w:rPr>
      </w:pPr>
      <w:r>
        <w:rPr>
          <w:rFonts w:ascii="Roboto" w:hAnsi="Roboto"/>
        </w:rPr>
        <w:t>Employees identified as having occupational exposure risk shall receive training consistent with OSHA requirements:</w:t>
      </w:r>
    </w:p>
    <w:p w14:paraId="1324D4DD" w14:textId="611122E1" w:rsidR="00D24BB5" w:rsidRDefault="00EF36F2" w:rsidP="000B00E7">
      <w:pPr>
        <w:rPr>
          <w:rFonts w:ascii="Roboto" w:hAnsi="Roboto"/>
        </w:rPr>
      </w:pPr>
      <w:r>
        <w:rPr>
          <w:rFonts w:ascii="Roboto" w:hAnsi="Roboto"/>
        </w:rPr>
        <w:t>Training will include, at a minimum:</w:t>
      </w:r>
    </w:p>
    <w:p w14:paraId="1EE7E107" w14:textId="7F89F382" w:rsidR="00EF36F2" w:rsidRDefault="000773E2" w:rsidP="00182F1D">
      <w:pPr>
        <w:pStyle w:val="ListParagraph"/>
        <w:numPr>
          <w:ilvl w:val="0"/>
          <w:numId w:val="25"/>
        </w:numPr>
        <w:rPr>
          <w:rFonts w:ascii="Roboto" w:hAnsi="Roboto"/>
        </w:rPr>
      </w:pPr>
      <w:r>
        <w:rPr>
          <w:rFonts w:ascii="Roboto" w:hAnsi="Roboto"/>
        </w:rPr>
        <w:t>Information about bloodborne pathogens and methods of transmission</w:t>
      </w:r>
    </w:p>
    <w:p w14:paraId="0FD493DE" w14:textId="0F3CE367" w:rsidR="000773E2" w:rsidRDefault="000773E2" w:rsidP="00182F1D">
      <w:pPr>
        <w:pStyle w:val="ListParagraph"/>
        <w:numPr>
          <w:ilvl w:val="0"/>
          <w:numId w:val="25"/>
        </w:numPr>
        <w:rPr>
          <w:rFonts w:ascii="Roboto" w:hAnsi="Roboto"/>
        </w:rPr>
      </w:pPr>
      <w:r>
        <w:rPr>
          <w:rFonts w:ascii="Roboto" w:hAnsi="Roboto"/>
        </w:rPr>
        <w:t>Recognition of tasks that may involve exposure</w:t>
      </w:r>
    </w:p>
    <w:p w14:paraId="6B795999" w14:textId="21EF5D08" w:rsidR="000773E2" w:rsidRDefault="000773E2" w:rsidP="00182F1D">
      <w:pPr>
        <w:pStyle w:val="ListParagraph"/>
        <w:numPr>
          <w:ilvl w:val="0"/>
          <w:numId w:val="25"/>
        </w:numPr>
        <w:rPr>
          <w:rFonts w:ascii="Roboto" w:hAnsi="Roboto"/>
        </w:rPr>
      </w:pPr>
      <w:r>
        <w:rPr>
          <w:rFonts w:ascii="Roboto" w:hAnsi="Roboto"/>
        </w:rPr>
        <w:t>Proper use of personal protective equipment</w:t>
      </w:r>
    </w:p>
    <w:p w14:paraId="4390DE79" w14:textId="4905F923" w:rsidR="000773E2" w:rsidRDefault="000773E2" w:rsidP="00182F1D">
      <w:pPr>
        <w:pStyle w:val="ListParagraph"/>
        <w:numPr>
          <w:ilvl w:val="0"/>
          <w:numId w:val="25"/>
        </w:numPr>
        <w:rPr>
          <w:rFonts w:ascii="Roboto" w:hAnsi="Roboto"/>
        </w:rPr>
      </w:pPr>
      <w:r>
        <w:rPr>
          <w:rFonts w:ascii="Roboto" w:hAnsi="Roboto"/>
        </w:rPr>
        <w:t>Procedures for handling contaminated materials</w:t>
      </w:r>
    </w:p>
    <w:p w14:paraId="25F57052" w14:textId="0A8E5DE9" w:rsidR="000773E2" w:rsidRDefault="009D702A" w:rsidP="00182F1D">
      <w:pPr>
        <w:pStyle w:val="ListParagraph"/>
        <w:numPr>
          <w:ilvl w:val="0"/>
          <w:numId w:val="25"/>
        </w:numPr>
        <w:rPr>
          <w:rFonts w:ascii="Roboto" w:hAnsi="Roboto"/>
        </w:rPr>
      </w:pPr>
      <w:r>
        <w:rPr>
          <w:rFonts w:ascii="Roboto" w:hAnsi="Roboto"/>
        </w:rPr>
        <w:t>Steps to take following an exposure incident</w:t>
      </w:r>
    </w:p>
    <w:p w14:paraId="52A9B44C" w14:textId="1A515E25" w:rsidR="009D702A" w:rsidRDefault="009D702A" w:rsidP="00182F1D">
      <w:pPr>
        <w:pStyle w:val="ListParagraph"/>
        <w:numPr>
          <w:ilvl w:val="0"/>
          <w:numId w:val="25"/>
        </w:numPr>
        <w:rPr>
          <w:rFonts w:ascii="Roboto" w:hAnsi="Roboto"/>
        </w:rPr>
      </w:pPr>
      <w:r>
        <w:rPr>
          <w:rFonts w:ascii="Roboto" w:hAnsi="Roboto"/>
        </w:rPr>
        <w:t>Location and contents of the Exposure Control Plan</w:t>
      </w:r>
    </w:p>
    <w:p w14:paraId="46689438" w14:textId="2404BE5A" w:rsidR="00A27064" w:rsidRDefault="00A27064" w:rsidP="00A27064">
      <w:pPr>
        <w:rPr>
          <w:rFonts w:ascii="Roboto" w:hAnsi="Roboto"/>
        </w:rPr>
      </w:pPr>
      <w:r>
        <w:rPr>
          <w:rFonts w:ascii="Roboto" w:hAnsi="Roboto"/>
        </w:rPr>
        <w:t>Training shall occur:</w:t>
      </w:r>
    </w:p>
    <w:p w14:paraId="6630C88B" w14:textId="737911D7" w:rsidR="00A27064" w:rsidRDefault="00A27064" w:rsidP="00A27064">
      <w:pPr>
        <w:pStyle w:val="ListParagraph"/>
        <w:numPr>
          <w:ilvl w:val="0"/>
          <w:numId w:val="26"/>
        </w:numPr>
        <w:rPr>
          <w:rFonts w:ascii="Roboto" w:hAnsi="Roboto"/>
        </w:rPr>
      </w:pPr>
      <w:r>
        <w:rPr>
          <w:rFonts w:ascii="Roboto" w:hAnsi="Roboto"/>
        </w:rPr>
        <w:t xml:space="preserve">At the time of initial job assignment, </w:t>
      </w:r>
      <w:r w:rsidR="00D14B40">
        <w:rPr>
          <w:rFonts w:ascii="Roboto" w:hAnsi="Roboto"/>
        </w:rPr>
        <w:t>and</w:t>
      </w:r>
    </w:p>
    <w:p w14:paraId="671EAB4F" w14:textId="2980F842" w:rsidR="00D14B40" w:rsidRPr="00A27064" w:rsidRDefault="00D14B40" w:rsidP="00A27064">
      <w:pPr>
        <w:pStyle w:val="ListParagraph"/>
        <w:numPr>
          <w:ilvl w:val="0"/>
          <w:numId w:val="26"/>
        </w:numPr>
        <w:rPr>
          <w:rFonts w:ascii="Roboto" w:hAnsi="Roboto"/>
        </w:rPr>
      </w:pPr>
      <w:r>
        <w:rPr>
          <w:rFonts w:ascii="Roboto" w:hAnsi="Roboto"/>
        </w:rPr>
        <w:t>At least annually thereafter.</w:t>
      </w:r>
    </w:p>
    <w:p w14:paraId="69F1ACC3" w14:textId="655702B8" w:rsidR="004C24A4" w:rsidRPr="004C24A4" w:rsidRDefault="00000000" w:rsidP="004C24A4">
      <w:pPr>
        <w:rPr>
          <w:rFonts w:ascii="Roboto" w:hAnsi="Roboto"/>
        </w:rPr>
      </w:pPr>
      <w:r>
        <w:pict w14:anchorId="51A295BB">
          <v:rect id="_x0000_i1030" style="width:0;height:1.5pt" o:hralign="center" o:hrstd="t" o:hr="t" fillcolor="#a0a0a0" stroked="f"/>
        </w:pict>
      </w:r>
    </w:p>
    <w:p w14:paraId="05000086" w14:textId="262B3BA8" w:rsidR="00B83766" w:rsidRDefault="00B83766" w:rsidP="00784B60">
      <w:pPr>
        <w:rPr>
          <w:rFonts w:ascii="Roboto" w:hAnsi="Roboto"/>
          <w:b/>
          <w:bCs/>
        </w:rPr>
      </w:pPr>
      <w:r>
        <w:rPr>
          <w:rFonts w:ascii="Roboto" w:hAnsi="Roboto"/>
          <w:b/>
          <w:bCs/>
        </w:rPr>
        <w:t xml:space="preserve">V. </w:t>
      </w:r>
      <w:r w:rsidR="00D14B40">
        <w:rPr>
          <w:rFonts w:ascii="Roboto" w:hAnsi="Roboto"/>
          <w:b/>
          <w:bCs/>
        </w:rPr>
        <w:t>Hepatitis B Vaccination</w:t>
      </w:r>
    </w:p>
    <w:p w14:paraId="409D2681" w14:textId="54146066" w:rsidR="00B83766" w:rsidRDefault="00D14B40" w:rsidP="00784B60">
      <w:pPr>
        <w:rPr>
          <w:rFonts w:ascii="Roboto" w:hAnsi="Roboto"/>
        </w:rPr>
      </w:pPr>
      <w:r>
        <w:rPr>
          <w:rFonts w:ascii="Roboto" w:hAnsi="Roboto"/>
        </w:rPr>
        <w:t>Employees with occupational exposure risk will be offered the Hepatitis B vaccination series at no cost, in accordance with federal and state health and safety requirements.</w:t>
      </w:r>
    </w:p>
    <w:p w14:paraId="51FF2998" w14:textId="10AFF783" w:rsidR="00D14B40" w:rsidRDefault="00D14B40" w:rsidP="00784B60">
      <w:pPr>
        <w:rPr>
          <w:rFonts w:ascii="Roboto" w:hAnsi="Roboto"/>
        </w:rPr>
      </w:pPr>
      <w:r>
        <w:rPr>
          <w:rFonts w:ascii="Roboto" w:hAnsi="Roboto"/>
        </w:rPr>
        <w:t>Employees who decline vaccination must sign a declination statement as required by OSHA but may later request vaccination if still eligible.</w:t>
      </w:r>
    </w:p>
    <w:p w14:paraId="7B63AD8B" w14:textId="0849EDBE" w:rsidR="00B83766" w:rsidRPr="00B83766" w:rsidRDefault="00000000" w:rsidP="00B83766">
      <w:pPr>
        <w:rPr>
          <w:rFonts w:ascii="Roboto" w:hAnsi="Roboto"/>
        </w:rPr>
      </w:pPr>
      <w:r>
        <w:pict w14:anchorId="3A05B6FD">
          <v:rect id="_x0000_i1031" style="width:0;height:1.5pt" o:hralign="center" o:hrstd="t" o:hr="t" fillcolor="#a0a0a0" stroked="f"/>
        </w:pict>
      </w:r>
    </w:p>
    <w:p w14:paraId="5E770291" w14:textId="07C81A78" w:rsidR="005D6D45" w:rsidRDefault="00B83766" w:rsidP="00784B60">
      <w:pPr>
        <w:rPr>
          <w:rFonts w:ascii="Roboto" w:hAnsi="Roboto"/>
          <w:b/>
          <w:bCs/>
        </w:rPr>
      </w:pPr>
      <w:r>
        <w:rPr>
          <w:rFonts w:ascii="Roboto" w:hAnsi="Roboto"/>
          <w:b/>
          <w:bCs/>
        </w:rPr>
        <w:lastRenderedPageBreak/>
        <w:t>V</w:t>
      </w:r>
      <w:r w:rsidR="005D6D45">
        <w:rPr>
          <w:rFonts w:ascii="Roboto" w:hAnsi="Roboto"/>
          <w:b/>
          <w:bCs/>
        </w:rPr>
        <w:t xml:space="preserve">I. </w:t>
      </w:r>
      <w:r w:rsidR="00054FF9">
        <w:rPr>
          <w:rFonts w:ascii="Roboto" w:hAnsi="Roboto"/>
          <w:b/>
          <w:bCs/>
        </w:rPr>
        <w:t>Exposure Incidents and Post-Exposure Evaluation</w:t>
      </w:r>
    </w:p>
    <w:p w14:paraId="1E04276C" w14:textId="72B5ECA8" w:rsidR="0056109A" w:rsidRDefault="00054FF9" w:rsidP="00B83766">
      <w:pPr>
        <w:rPr>
          <w:rFonts w:ascii="Roboto" w:hAnsi="Roboto"/>
        </w:rPr>
      </w:pPr>
      <w:r>
        <w:rPr>
          <w:rFonts w:ascii="Roboto" w:hAnsi="Roboto"/>
        </w:rPr>
        <w:t>Any employee who experiences a suspect</w:t>
      </w:r>
      <w:r w:rsidR="00CA195B">
        <w:rPr>
          <w:rFonts w:ascii="Roboto" w:hAnsi="Roboto"/>
        </w:rPr>
        <w:t>e</w:t>
      </w:r>
      <w:r>
        <w:rPr>
          <w:rFonts w:ascii="Roboto" w:hAnsi="Roboto"/>
        </w:rPr>
        <w:t xml:space="preserve">d </w:t>
      </w:r>
      <w:r w:rsidR="00CA195B">
        <w:rPr>
          <w:rFonts w:ascii="Roboto" w:hAnsi="Roboto"/>
        </w:rPr>
        <w:t>exposure</w:t>
      </w:r>
      <w:r w:rsidR="00B820B6">
        <w:rPr>
          <w:rFonts w:ascii="Roboto" w:hAnsi="Roboto"/>
        </w:rPr>
        <w:t xml:space="preserve"> incident must report the incident immediately to their supervisor or the appropriate administrator.</w:t>
      </w:r>
    </w:p>
    <w:p w14:paraId="1558A445" w14:textId="1BE952F1" w:rsidR="00B820B6" w:rsidRDefault="00B820B6" w:rsidP="00B83766">
      <w:pPr>
        <w:rPr>
          <w:rFonts w:ascii="Roboto" w:hAnsi="Roboto"/>
        </w:rPr>
      </w:pPr>
      <w:r>
        <w:rPr>
          <w:rFonts w:ascii="Roboto" w:hAnsi="Roboto"/>
        </w:rPr>
        <w:t>The school will ensure prompt medical evaluation and follow-up, which may include:</w:t>
      </w:r>
    </w:p>
    <w:p w14:paraId="186520DC" w14:textId="5FF1FDE6" w:rsidR="00B820B6" w:rsidRDefault="00B820B6" w:rsidP="00B820B6">
      <w:pPr>
        <w:pStyle w:val="ListParagraph"/>
        <w:numPr>
          <w:ilvl w:val="0"/>
          <w:numId w:val="27"/>
        </w:numPr>
        <w:rPr>
          <w:rFonts w:ascii="Roboto" w:hAnsi="Roboto"/>
        </w:rPr>
      </w:pPr>
      <w:r>
        <w:rPr>
          <w:rFonts w:ascii="Roboto" w:hAnsi="Roboto"/>
        </w:rPr>
        <w:t>Documentation of the exposure incident</w:t>
      </w:r>
    </w:p>
    <w:p w14:paraId="447F1F4F" w14:textId="03920E66" w:rsidR="00B820B6" w:rsidRDefault="00B820B6" w:rsidP="00B820B6">
      <w:pPr>
        <w:pStyle w:val="ListParagraph"/>
        <w:numPr>
          <w:ilvl w:val="0"/>
          <w:numId w:val="27"/>
        </w:numPr>
        <w:rPr>
          <w:rFonts w:ascii="Roboto" w:hAnsi="Roboto"/>
        </w:rPr>
      </w:pPr>
      <w:r>
        <w:rPr>
          <w:rFonts w:ascii="Roboto" w:hAnsi="Roboto"/>
        </w:rPr>
        <w:t>Identification and testing of the source individual when permitted by law</w:t>
      </w:r>
    </w:p>
    <w:p w14:paraId="2F2FA328" w14:textId="58C4F49D" w:rsidR="00B820B6" w:rsidRDefault="00B820B6" w:rsidP="00B820B6">
      <w:pPr>
        <w:pStyle w:val="ListParagraph"/>
        <w:numPr>
          <w:ilvl w:val="0"/>
          <w:numId w:val="27"/>
        </w:numPr>
        <w:rPr>
          <w:rFonts w:ascii="Roboto" w:hAnsi="Roboto"/>
        </w:rPr>
      </w:pPr>
      <w:r>
        <w:rPr>
          <w:rFonts w:ascii="Roboto" w:hAnsi="Roboto"/>
        </w:rPr>
        <w:t>Confidential medical evaluation</w:t>
      </w:r>
    </w:p>
    <w:p w14:paraId="0694BE38" w14:textId="0BE90ABB" w:rsidR="00B820B6" w:rsidRDefault="00B820B6" w:rsidP="00B820B6">
      <w:pPr>
        <w:pStyle w:val="ListParagraph"/>
        <w:numPr>
          <w:ilvl w:val="0"/>
          <w:numId w:val="27"/>
        </w:numPr>
        <w:rPr>
          <w:rFonts w:ascii="Roboto" w:hAnsi="Roboto"/>
        </w:rPr>
      </w:pPr>
      <w:r>
        <w:rPr>
          <w:rFonts w:ascii="Roboto" w:hAnsi="Roboto"/>
        </w:rPr>
        <w:t>Post-exposure prophylaxis when medically indicated</w:t>
      </w:r>
    </w:p>
    <w:p w14:paraId="7E3FA515" w14:textId="4AEA8762" w:rsidR="00B820B6" w:rsidRDefault="00B820B6" w:rsidP="00B820B6">
      <w:pPr>
        <w:pStyle w:val="ListParagraph"/>
        <w:numPr>
          <w:ilvl w:val="0"/>
          <w:numId w:val="27"/>
        </w:numPr>
        <w:rPr>
          <w:rFonts w:ascii="Roboto" w:hAnsi="Roboto"/>
        </w:rPr>
      </w:pPr>
      <w:r>
        <w:rPr>
          <w:rFonts w:ascii="Roboto" w:hAnsi="Roboto"/>
        </w:rPr>
        <w:t>Counseling and follow-up testing as recommended by healthcare professionals</w:t>
      </w:r>
    </w:p>
    <w:p w14:paraId="3E4BA1CE" w14:textId="008461FD" w:rsidR="00B820B6" w:rsidRPr="00B820B6" w:rsidRDefault="00B820B6" w:rsidP="00B820B6">
      <w:pPr>
        <w:rPr>
          <w:rFonts w:ascii="Roboto" w:hAnsi="Roboto"/>
        </w:rPr>
      </w:pPr>
      <w:r>
        <w:rPr>
          <w:rFonts w:ascii="Roboto" w:hAnsi="Roboto"/>
        </w:rPr>
        <w:t>All medical information will be handled in accordance with confidentiality requirements under applicable laws and regulations.</w:t>
      </w:r>
    </w:p>
    <w:p w14:paraId="6D1D30EE" w14:textId="2129FDE1" w:rsidR="003B6C80" w:rsidRDefault="00000000" w:rsidP="00784B60">
      <w:pPr>
        <w:rPr>
          <w:rFonts w:ascii="Roboto" w:hAnsi="Roboto"/>
        </w:rPr>
      </w:pPr>
      <w:r>
        <w:rPr>
          <w:rFonts w:ascii="Roboto" w:hAnsi="Roboto"/>
          <w:b/>
          <w:bCs/>
        </w:rPr>
        <w:pict w14:anchorId="64796BD0">
          <v:rect id="_x0000_i1032" style="width:0;height:1.5pt" o:hralign="center" o:hrstd="t" o:hr="t" fillcolor="#a0a0a0" stroked="f"/>
        </w:pict>
      </w:r>
    </w:p>
    <w:p w14:paraId="6DC1E48C" w14:textId="2416AD77" w:rsidR="00784B60" w:rsidRDefault="003B6C80" w:rsidP="00784B60">
      <w:pPr>
        <w:rPr>
          <w:rFonts w:ascii="Roboto" w:hAnsi="Roboto"/>
          <w:b/>
          <w:bCs/>
        </w:rPr>
      </w:pPr>
      <w:r>
        <w:rPr>
          <w:rFonts w:ascii="Roboto" w:hAnsi="Roboto"/>
          <w:b/>
          <w:bCs/>
        </w:rPr>
        <w:t>V</w:t>
      </w:r>
      <w:r w:rsidR="000E4BC8">
        <w:rPr>
          <w:rFonts w:ascii="Roboto" w:hAnsi="Roboto"/>
          <w:b/>
          <w:bCs/>
        </w:rPr>
        <w:t>II</w:t>
      </w:r>
      <w:r w:rsidR="00784B60" w:rsidRPr="00784B60">
        <w:rPr>
          <w:rFonts w:ascii="Roboto" w:hAnsi="Roboto"/>
          <w:b/>
          <w:bCs/>
        </w:rPr>
        <w:t xml:space="preserve">. </w:t>
      </w:r>
      <w:r w:rsidR="00B820B6">
        <w:rPr>
          <w:rFonts w:ascii="Roboto" w:hAnsi="Roboto"/>
          <w:b/>
          <w:bCs/>
        </w:rPr>
        <w:t>Nondiscrimination</w:t>
      </w:r>
    </w:p>
    <w:p w14:paraId="4FF3F19F" w14:textId="0E7E2A10" w:rsidR="00745B2F" w:rsidRDefault="00B820B6" w:rsidP="00745B2F">
      <w:pPr>
        <w:rPr>
          <w:rFonts w:ascii="Roboto" w:hAnsi="Roboto"/>
        </w:rPr>
      </w:pPr>
      <w:r>
        <w:rPr>
          <w:rFonts w:ascii="Roboto" w:hAnsi="Roboto"/>
        </w:rPr>
        <w:t>ENCSD will not discriminate against any employee who has or is suspected of having communicable disease, including HIV or hepatitis, in accordance with federal and state nondiscrimination laws.</w:t>
      </w:r>
    </w:p>
    <w:p w14:paraId="0AAB5F6E" w14:textId="29C6F2CC" w:rsidR="00B820B6" w:rsidRPr="00745B2F" w:rsidRDefault="00B820B6" w:rsidP="00745B2F">
      <w:pPr>
        <w:rPr>
          <w:rFonts w:ascii="Roboto" w:hAnsi="Roboto"/>
        </w:rPr>
      </w:pPr>
      <w:r>
        <w:rPr>
          <w:rFonts w:ascii="Roboto" w:hAnsi="Roboto"/>
        </w:rPr>
        <w:t xml:space="preserve">An employee may continue to work </w:t>
      </w:r>
      <w:proofErr w:type="gramStart"/>
      <w:r>
        <w:rPr>
          <w:rFonts w:ascii="Roboto" w:hAnsi="Roboto"/>
        </w:rPr>
        <w:t>as long as</w:t>
      </w:r>
      <w:proofErr w:type="gramEnd"/>
      <w:r>
        <w:rPr>
          <w:rFonts w:ascii="Roboto" w:hAnsi="Roboto"/>
        </w:rPr>
        <w:t xml:space="preserve"> they are able to perform the essential functions of their job and their condition does not pose a direct threat to the health or safety of others.</w:t>
      </w:r>
    </w:p>
    <w:p w14:paraId="17DC3C32" w14:textId="7C98F8A0" w:rsidR="00A5403F" w:rsidRPr="00A5403F" w:rsidRDefault="00000000" w:rsidP="00C86E25">
      <w:pPr>
        <w:rPr>
          <w:rFonts w:ascii="Roboto" w:hAnsi="Roboto"/>
        </w:rPr>
      </w:pPr>
      <w:r>
        <w:rPr>
          <w:rFonts w:ascii="Roboto" w:hAnsi="Roboto"/>
          <w:b/>
          <w:bCs/>
        </w:rPr>
        <w:pict w14:anchorId="1E5415F8">
          <v:rect id="_x0000_i1038"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57169231" w14:textId="4A801EB4" w:rsidR="0088697D" w:rsidRPr="0088697D" w:rsidRDefault="0088697D" w:rsidP="0088697D">
      <w:pPr>
        <w:pStyle w:val="ListParagraph"/>
        <w:numPr>
          <w:ilvl w:val="0"/>
          <w:numId w:val="27"/>
        </w:numPr>
        <w:rPr>
          <w:rFonts w:ascii="Roboto" w:hAnsi="Roboto"/>
        </w:rPr>
      </w:pPr>
      <w:r w:rsidRPr="0088697D">
        <w:rPr>
          <w:rFonts w:ascii="Roboto" w:hAnsi="Roboto"/>
        </w:rPr>
        <w:t>Occupational Safety and Health Act, 29 U.S.C. §651 et seq.</w:t>
      </w:r>
    </w:p>
    <w:p w14:paraId="17F347EE" w14:textId="2F1AEA59" w:rsidR="0088697D" w:rsidRPr="0088697D" w:rsidRDefault="0088697D" w:rsidP="0088697D">
      <w:pPr>
        <w:pStyle w:val="ListParagraph"/>
        <w:numPr>
          <w:ilvl w:val="0"/>
          <w:numId w:val="27"/>
        </w:numPr>
        <w:rPr>
          <w:rFonts w:ascii="Roboto" w:hAnsi="Roboto"/>
        </w:rPr>
      </w:pPr>
      <w:r w:rsidRPr="0088697D">
        <w:rPr>
          <w:rFonts w:ascii="Roboto" w:hAnsi="Roboto"/>
        </w:rPr>
        <w:t>OSHA Bloodborne Pathogens Standard, 29 C.F.R. §1910.1030</w:t>
      </w:r>
    </w:p>
    <w:p w14:paraId="6B1B3F0A" w14:textId="719FE482" w:rsidR="0088697D" w:rsidRPr="0088697D" w:rsidRDefault="0088697D" w:rsidP="0088697D">
      <w:pPr>
        <w:pStyle w:val="ListParagraph"/>
        <w:numPr>
          <w:ilvl w:val="0"/>
          <w:numId w:val="27"/>
        </w:numPr>
        <w:rPr>
          <w:rFonts w:ascii="Roboto" w:hAnsi="Roboto"/>
        </w:rPr>
      </w:pPr>
      <w:r w:rsidRPr="0088697D">
        <w:rPr>
          <w:rFonts w:ascii="Roboto" w:hAnsi="Roboto"/>
        </w:rPr>
        <w:t>N.C. Gen. Stat. Chapter 95, Article 16</w:t>
      </w:r>
    </w:p>
    <w:p w14:paraId="0F4E4AB6" w14:textId="3C1EB780" w:rsidR="0088697D" w:rsidRPr="0088697D" w:rsidRDefault="0088697D" w:rsidP="0088697D">
      <w:pPr>
        <w:pStyle w:val="ListParagraph"/>
        <w:numPr>
          <w:ilvl w:val="0"/>
          <w:numId w:val="27"/>
        </w:numPr>
        <w:rPr>
          <w:rFonts w:ascii="Roboto" w:hAnsi="Roboto"/>
        </w:rPr>
      </w:pPr>
      <w:r w:rsidRPr="0088697D">
        <w:rPr>
          <w:rFonts w:ascii="Roboto" w:hAnsi="Roboto"/>
        </w:rPr>
        <w:t>13 N.C.A.C. 7F .0207</w:t>
      </w:r>
    </w:p>
    <w:p w14:paraId="4994E722" w14:textId="287213B7" w:rsidR="0088697D" w:rsidRPr="0088697D" w:rsidRDefault="0088697D" w:rsidP="0088697D">
      <w:pPr>
        <w:pStyle w:val="ListParagraph"/>
        <w:numPr>
          <w:ilvl w:val="0"/>
          <w:numId w:val="27"/>
        </w:numPr>
        <w:rPr>
          <w:rFonts w:ascii="Roboto" w:hAnsi="Roboto"/>
        </w:rPr>
      </w:pPr>
      <w:r w:rsidRPr="0088697D">
        <w:rPr>
          <w:rFonts w:ascii="Roboto" w:hAnsi="Roboto"/>
        </w:rPr>
        <w:t>10A N.C.A.C. 41A .0202 and .0203</w:t>
      </w:r>
    </w:p>
    <w:p w14:paraId="54DF61D0" w14:textId="7EE61836" w:rsidR="00C90621" w:rsidRDefault="00000000" w:rsidP="00784B60">
      <w:pPr>
        <w:rPr>
          <w:rFonts w:ascii="Roboto" w:hAnsi="Roboto"/>
        </w:rPr>
      </w:pPr>
      <w:r>
        <w:rPr>
          <w:rFonts w:ascii="Roboto" w:hAnsi="Roboto"/>
        </w:rPr>
        <w:pict w14:anchorId="727BCA74">
          <v:rect id="_x0000_i1039" style="width:0;height:.75pt" o:hralign="center" o:hrstd="t" o:hr="t" fillcolor="#a0a0a0" stroked="f"/>
        </w:pict>
      </w:r>
    </w:p>
    <w:p w14:paraId="167D0B01" w14:textId="6BF4447B" w:rsidR="003B5EEB" w:rsidRP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BABDE" w14:textId="77777777" w:rsidR="00CB0DC4" w:rsidRDefault="00CB0DC4" w:rsidP="00C90621">
      <w:pPr>
        <w:spacing w:after="0" w:line="240" w:lineRule="auto"/>
      </w:pPr>
      <w:r>
        <w:separator/>
      </w:r>
    </w:p>
  </w:endnote>
  <w:endnote w:type="continuationSeparator" w:id="0">
    <w:p w14:paraId="5DEF2E61" w14:textId="77777777" w:rsidR="00CB0DC4" w:rsidRDefault="00CB0DC4"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0BD0E356" w:rsidR="00C90621" w:rsidRDefault="00C90621">
    <w:pPr>
      <w:pStyle w:val="Footer"/>
      <w:rPr>
        <w:rFonts w:ascii="Roboto" w:hAnsi="Roboto"/>
        <w:sz w:val="16"/>
        <w:szCs w:val="16"/>
      </w:rPr>
    </w:pPr>
    <w:r>
      <w:rPr>
        <w:rFonts w:ascii="Roboto" w:hAnsi="Roboto"/>
        <w:sz w:val="16"/>
        <w:szCs w:val="16"/>
      </w:rPr>
      <w:t xml:space="preserve">Revised: </w:t>
    </w:r>
    <w:r w:rsidR="00110A08">
      <w:rPr>
        <w:rFonts w:ascii="Roboto" w:hAnsi="Roboto"/>
        <w:sz w:val="16"/>
        <w:szCs w:val="16"/>
      </w:rPr>
      <w:t>03102026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F7F5D" w14:textId="77777777" w:rsidR="00CB0DC4" w:rsidRDefault="00CB0DC4" w:rsidP="00C90621">
      <w:pPr>
        <w:spacing w:after="0" w:line="240" w:lineRule="auto"/>
      </w:pPr>
      <w:r>
        <w:separator/>
      </w:r>
    </w:p>
  </w:footnote>
  <w:footnote w:type="continuationSeparator" w:id="0">
    <w:p w14:paraId="7CAB287F" w14:textId="77777777" w:rsidR="00CB0DC4" w:rsidRDefault="00CB0DC4"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E2FED"/>
    <w:multiLevelType w:val="hybridMultilevel"/>
    <w:tmpl w:val="A0C6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B19FF"/>
    <w:multiLevelType w:val="hybridMultilevel"/>
    <w:tmpl w:val="114C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10D5"/>
    <w:multiLevelType w:val="hybridMultilevel"/>
    <w:tmpl w:val="C706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5112"/>
    <w:multiLevelType w:val="hybridMultilevel"/>
    <w:tmpl w:val="C1B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C1A8C"/>
    <w:multiLevelType w:val="hybridMultilevel"/>
    <w:tmpl w:val="6170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96A93"/>
    <w:multiLevelType w:val="hybridMultilevel"/>
    <w:tmpl w:val="9BD8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56673F"/>
    <w:multiLevelType w:val="hybridMultilevel"/>
    <w:tmpl w:val="5708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A115C4"/>
    <w:multiLevelType w:val="hybridMultilevel"/>
    <w:tmpl w:val="54EC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F197F"/>
    <w:multiLevelType w:val="hybridMultilevel"/>
    <w:tmpl w:val="B644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D7FAE"/>
    <w:multiLevelType w:val="hybridMultilevel"/>
    <w:tmpl w:val="175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21FAB"/>
    <w:multiLevelType w:val="hybridMultilevel"/>
    <w:tmpl w:val="32D0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73DE"/>
    <w:multiLevelType w:val="hybridMultilevel"/>
    <w:tmpl w:val="D2A6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07399"/>
    <w:multiLevelType w:val="hybridMultilevel"/>
    <w:tmpl w:val="1CEC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66DF4"/>
    <w:multiLevelType w:val="hybridMultilevel"/>
    <w:tmpl w:val="034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62AA9"/>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56628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F418F"/>
    <w:multiLevelType w:val="hybridMultilevel"/>
    <w:tmpl w:val="B514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534837"/>
    <w:multiLevelType w:val="hybridMultilevel"/>
    <w:tmpl w:val="4F06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8583F"/>
    <w:multiLevelType w:val="hybridMultilevel"/>
    <w:tmpl w:val="5B58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F37A6"/>
    <w:multiLevelType w:val="hybridMultilevel"/>
    <w:tmpl w:val="27A2B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563308">
    <w:abstractNumId w:val="23"/>
  </w:num>
  <w:num w:numId="2" w16cid:durableId="1522087548">
    <w:abstractNumId w:val="18"/>
  </w:num>
  <w:num w:numId="3" w16cid:durableId="1233001076">
    <w:abstractNumId w:val="2"/>
  </w:num>
  <w:num w:numId="4" w16cid:durableId="532694782">
    <w:abstractNumId w:val="19"/>
  </w:num>
  <w:num w:numId="5" w16cid:durableId="746653119">
    <w:abstractNumId w:val="8"/>
  </w:num>
  <w:num w:numId="6" w16cid:durableId="964770591">
    <w:abstractNumId w:val="20"/>
  </w:num>
  <w:num w:numId="7" w16cid:durableId="1247878534">
    <w:abstractNumId w:val="21"/>
  </w:num>
  <w:num w:numId="8" w16cid:durableId="1329556238">
    <w:abstractNumId w:val="10"/>
  </w:num>
  <w:num w:numId="9" w16cid:durableId="1700472200">
    <w:abstractNumId w:val="0"/>
  </w:num>
  <w:num w:numId="10" w16cid:durableId="265625584">
    <w:abstractNumId w:val="25"/>
  </w:num>
  <w:num w:numId="11" w16cid:durableId="1419909332">
    <w:abstractNumId w:val="12"/>
  </w:num>
  <w:num w:numId="12" w16cid:durableId="991253665">
    <w:abstractNumId w:val="26"/>
  </w:num>
  <w:num w:numId="13" w16cid:durableId="646709936">
    <w:abstractNumId w:val="15"/>
  </w:num>
  <w:num w:numId="14" w16cid:durableId="304358940">
    <w:abstractNumId w:val="17"/>
  </w:num>
  <w:num w:numId="15" w16cid:durableId="1222867283">
    <w:abstractNumId w:val="9"/>
  </w:num>
  <w:num w:numId="16" w16cid:durableId="245042615">
    <w:abstractNumId w:val="22"/>
  </w:num>
  <w:num w:numId="17" w16cid:durableId="1065765020">
    <w:abstractNumId w:val="14"/>
  </w:num>
  <w:num w:numId="18" w16cid:durableId="168641434">
    <w:abstractNumId w:val="6"/>
  </w:num>
  <w:num w:numId="19" w16cid:durableId="1666929499">
    <w:abstractNumId w:val="5"/>
  </w:num>
  <w:num w:numId="20" w16cid:durableId="1717125634">
    <w:abstractNumId w:val="3"/>
  </w:num>
  <w:num w:numId="21" w16cid:durableId="747188029">
    <w:abstractNumId w:val="24"/>
  </w:num>
  <w:num w:numId="22" w16cid:durableId="505094123">
    <w:abstractNumId w:val="11"/>
  </w:num>
  <w:num w:numId="23" w16cid:durableId="1615861566">
    <w:abstractNumId w:val="16"/>
  </w:num>
  <w:num w:numId="24" w16cid:durableId="1278944968">
    <w:abstractNumId w:val="27"/>
  </w:num>
  <w:num w:numId="25" w16cid:durableId="1477911337">
    <w:abstractNumId w:val="1"/>
  </w:num>
  <w:num w:numId="26" w16cid:durableId="1080953873">
    <w:abstractNumId w:val="4"/>
  </w:num>
  <w:num w:numId="27" w16cid:durableId="1991405283">
    <w:abstractNumId w:val="13"/>
  </w:num>
  <w:num w:numId="28" w16cid:durableId="71088828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610D"/>
    <w:rsid w:val="00032A8E"/>
    <w:rsid w:val="0004114E"/>
    <w:rsid w:val="00054FF9"/>
    <w:rsid w:val="00076311"/>
    <w:rsid w:val="0007718E"/>
    <w:rsid w:val="000773E2"/>
    <w:rsid w:val="00081348"/>
    <w:rsid w:val="000826D5"/>
    <w:rsid w:val="00094147"/>
    <w:rsid w:val="000969A1"/>
    <w:rsid w:val="000A3883"/>
    <w:rsid w:val="000A72AF"/>
    <w:rsid w:val="000A7F4C"/>
    <w:rsid w:val="000B00E7"/>
    <w:rsid w:val="000B1B1D"/>
    <w:rsid w:val="000D5B92"/>
    <w:rsid w:val="000E28A9"/>
    <w:rsid w:val="000E4BC8"/>
    <w:rsid w:val="000F063F"/>
    <w:rsid w:val="000F0A30"/>
    <w:rsid w:val="000F0DBE"/>
    <w:rsid w:val="0010554C"/>
    <w:rsid w:val="001059CC"/>
    <w:rsid w:val="00110A08"/>
    <w:rsid w:val="00110C6A"/>
    <w:rsid w:val="00115FBC"/>
    <w:rsid w:val="0012402B"/>
    <w:rsid w:val="001302A3"/>
    <w:rsid w:val="00135FC0"/>
    <w:rsid w:val="001375FF"/>
    <w:rsid w:val="0015155F"/>
    <w:rsid w:val="00152B69"/>
    <w:rsid w:val="00154680"/>
    <w:rsid w:val="001638A2"/>
    <w:rsid w:val="001660D6"/>
    <w:rsid w:val="001661CF"/>
    <w:rsid w:val="00182F1D"/>
    <w:rsid w:val="00196118"/>
    <w:rsid w:val="001A7B19"/>
    <w:rsid w:val="001C1002"/>
    <w:rsid w:val="001C7673"/>
    <w:rsid w:val="001D63C2"/>
    <w:rsid w:val="001E35FA"/>
    <w:rsid w:val="001E7B76"/>
    <w:rsid w:val="001F7DDC"/>
    <w:rsid w:val="00206087"/>
    <w:rsid w:val="00207FE0"/>
    <w:rsid w:val="002115FF"/>
    <w:rsid w:val="00220A65"/>
    <w:rsid w:val="002220E5"/>
    <w:rsid w:val="0023001F"/>
    <w:rsid w:val="00230332"/>
    <w:rsid w:val="00246D54"/>
    <w:rsid w:val="002561C7"/>
    <w:rsid w:val="00270415"/>
    <w:rsid w:val="002776C0"/>
    <w:rsid w:val="0028647E"/>
    <w:rsid w:val="0029379D"/>
    <w:rsid w:val="002A7591"/>
    <w:rsid w:val="002B3438"/>
    <w:rsid w:val="002B417B"/>
    <w:rsid w:val="002C2486"/>
    <w:rsid w:val="002C70EC"/>
    <w:rsid w:val="002D5579"/>
    <w:rsid w:val="002D639A"/>
    <w:rsid w:val="002F087D"/>
    <w:rsid w:val="002F478A"/>
    <w:rsid w:val="002F48B3"/>
    <w:rsid w:val="002F5E66"/>
    <w:rsid w:val="00304337"/>
    <w:rsid w:val="00322F35"/>
    <w:rsid w:val="00330DAB"/>
    <w:rsid w:val="00332D33"/>
    <w:rsid w:val="003427FB"/>
    <w:rsid w:val="00364070"/>
    <w:rsid w:val="00366C05"/>
    <w:rsid w:val="00391E7D"/>
    <w:rsid w:val="00396C37"/>
    <w:rsid w:val="003A083A"/>
    <w:rsid w:val="003A4C95"/>
    <w:rsid w:val="003B5EEB"/>
    <w:rsid w:val="003B6C80"/>
    <w:rsid w:val="003D57D4"/>
    <w:rsid w:val="003E679A"/>
    <w:rsid w:val="003F0308"/>
    <w:rsid w:val="003F186E"/>
    <w:rsid w:val="004509F0"/>
    <w:rsid w:val="004628CD"/>
    <w:rsid w:val="00465395"/>
    <w:rsid w:val="004668F7"/>
    <w:rsid w:val="00475032"/>
    <w:rsid w:val="004751C8"/>
    <w:rsid w:val="00482106"/>
    <w:rsid w:val="004908BD"/>
    <w:rsid w:val="004923D8"/>
    <w:rsid w:val="004956D1"/>
    <w:rsid w:val="00495764"/>
    <w:rsid w:val="004B1407"/>
    <w:rsid w:val="004B2EFD"/>
    <w:rsid w:val="004B45F3"/>
    <w:rsid w:val="004B53B3"/>
    <w:rsid w:val="004C0416"/>
    <w:rsid w:val="004C24A4"/>
    <w:rsid w:val="004C33C7"/>
    <w:rsid w:val="004E4CCF"/>
    <w:rsid w:val="004E7A1B"/>
    <w:rsid w:val="004F210B"/>
    <w:rsid w:val="005006F3"/>
    <w:rsid w:val="0051188C"/>
    <w:rsid w:val="00523750"/>
    <w:rsid w:val="00523FD6"/>
    <w:rsid w:val="005321D9"/>
    <w:rsid w:val="005324E6"/>
    <w:rsid w:val="00532E8E"/>
    <w:rsid w:val="00534E0F"/>
    <w:rsid w:val="0054636B"/>
    <w:rsid w:val="00557194"/>
    <w:rsid w:val="0056109A"/>
    <w:rsid w:val="00570773"/>
    <w:rsid w:val="00582D0D"/>
    <w:rsid w:val="00592DBC"/>
    <w:rsid w:val="00595769"/>
    <w:rsid w:val="005A39E0"/>
    <w:rsid w:val="005D6D45"/>
    <w:rsid w:val="005E652E"/>
    <w:rsid w:val="00601E01"/>
    <w:rsid w:val="006047A6"/>
    <w:rsid w:val="00611978"/>
    <w:rsid w:val="006152E2"/>
    <w:rsid w:val="006155AD"/>
    <w:rsid w:val="0062382C"/>
    <w:rsid w:val="00625720"/>
    <w:rsid w:val="00630828"/>
    <w:rsid w:val="00634DBA"/>
    <w:rsid w:val="00637880"/>
    <w:rsid w:val="00637B21"/>
    <w:rsid w:val="00640EAB"/>
    <w:rsid w:val="006455D4"/>
    <w:rsid w:val="00651814"/>
    <w:rsid w:val="00657939"/>
    <w:rsid w:val="00661603"/>
    <w:rsid w:val="00662920"/>
    <w:rsid w:val="00674D7C"/>
    <w:rsid w:val="0067781D"/>
    <w:rsid w:val="006875A5"/>
    <w:rsid w:val="00691FA8"/>
    <w:rsid w:val="006A3348"/>
    <w:rsid w:val="006B3E41"/>
    <w:rsid w:val="006B4A9A"/>
    <w:rsid w:val="006D68F0"/>
    <w:rsid w:val="00701265"/>
    <w:rsid w:val="007168E3"/>
    <w:rsid w:val="00732698"/>
    <w:rsid w:val="007366C0"/>
    <w:rsid w:val="00741DBD"/>
    <w:rsid w:val="00744E02"/>
    <w:rsid w:val="00745B2F"/>
    <w:rsid w:val="00784B60"/>
    <w:rsid w:val="007C092E"/>
    <w:rsid w:val="007C786D"/>
    <w:rsid w:val="007E5B85"/>
    <w:rsid w:val="007F6B6B"/>
    <w:rsid w:val="00812491"/>
    <w:rsid w:val="008435BB"/>
    <w:rsid w:val="00857882"/>
    <w:rsid w:val="00872604"/>
    <w:rsid w:val="00876F4A"/>
    <w:rsid w:val="00880B3A"/>
    <w:rsid w:val="0088697D"/>
    <w:rsid w:val="008948B6"/>
    <w:rsid w:val="008C2939"/>
    <w:rsid w:val="008C2BD6"/>
    <w:rsid w:val="008C3055"/>
    <w:rsid w:val="008C5A14"/>
    <w:rsid w:val="008E198A"/>
    <w:rsid w:val="00925945"/>
    <w:rsid w:val="00927466"/>
    <w:rsid w:val="00933C5B"/>
    <w:rsid w:val="009442FB"/>
    <w:rsid w:val="00946A49"/>
    <w:rsid w:val="00950D4A"/>
    <w:rsid w:val="00967AD5"/>
    <w:rsid w:val="0097019B"/>
    <w:rsid w:val="0097669F"/>
    <w:rsid w:val="009862AD"/>
    <w:rsid w:val="0099104D"/>
    <w:rsid w:val="009920BC"/>
    <w:rsid w:val="009C30F3"/>
    <w:rsid w:val="009C516F"/>
    <w:rsid w:val="009D505E"/>
    <w:rsid w:val="009D702A"/>
    <w:rsid w:val="009E1016"/>
    <w:rsid w:val="009E233D"/>
    <w:rsid w:val="009E281C"/>
    <w:rsid w:val="009E439C"/>
    <w:rsid w:val="00A011D0"/>
    <w:rsid w:val="00A125DC"/>
    <w:rsid w:val="00A16E12"/>
    <w:rsid w:val="00A27064"/>
    <w:rsid w:val="00A27168"/>
    <w:rsid w:val="00A36261"/>
    <w:rsid w:val="00A460E3"/>
    <w:rsid w:val="00A5403F"/>
    <w:rsid w:val="00A54EC4"/>
    <w:rsid w:val="00A85B5D"/>
    <w:rsid w:val="00A85FB4"/>
    <w:rsid w:val="00AA026F"/>
    <w:rsid w:val="00AB7775"/>
    <w:rsid w:val="00AD3274"/>
    <w:rsid w:val="00AE03B7"/>
    <w:rsid w:val="00AE26A0"/>
    <w:rsid w:val="00AE7FB1"/>
    <w:rsid w:val="00AF7510"/>
    <w:rsid w:val="00B01824"/>
    <w:rsid w:val="00B569F9"/>
    <w:rsid w:val="00B5730D"/>
    <w:rsid w:val="00B820B6"/>
    <w:rsid w:val="00B83766"/>
    <w:rsid w:val="00B8791F"/>
    <w:rsid w:val="00B93CAF"/>
    <w:rsid w:val="00BA6179"/>
    <w:rsid w:val="00BC0C3B"/>
    <w:rsid w:val="00BD5F66"/>
    <w:rsid w:val="00BD69B0"/>
    <w:rsid w:val="00BD706E"/>
    <w:rsid w:val="00BE0A22"/>
    <w:rsid w:val="00BF4504"/>
    <w:rsid w:val="00C1189C"/>
    <w:rsid w:val="00C13988"/>
    <w:rsid w:val="00C3234D"/>
    <w:rsid w:val="00C33E64"/>
    <w:rsid w:val="00C44C8A"/>
    <w:rsid w:val="00C50E99"/>
    <w:rsid w:val="00C55C04"/>
    <w:rsid w:val="00C60A9D"/>
    <w:rsid w:val="00C61644"/>
    <w:rsid w:val="00C61FE4"/>
    <w:rsid w:val="00C75BDF"/>
    <w:rsid w:val="00C8066C"/>
    <w:rsid w:val="00C8280D"/>
    <w:rsid w:val="00C86E25"/>
    <w:rsid w:val="00C90621"/>
    <w:rsid w:val="00C94EEE"/>
    <w:rsid w:val="00CA195B"/>
    <w:rsid w:val="00CA6998"/>
    <w:rsid w:val="00CB0DC4"/>
    <w:rsid w:val="00CC75A6"/>
    <w:rsid w:val="00CD0190"/>
    <w:rsid w:val="00CE316B"/>
    <w:rsid w:val="00CE33CA"/>
    <w:rsid w:val="00CE605C"/>
    <w:rsid w:val="00CF27EC"/>
    <w:rsid w:val="00D022BC"/>
    <w:rsid w:val="00D14B40"/>
    <w:rsid w:val="00D20E2A"/>
    <w:rsid w:val="00D24BB5"/>
    <w:rsid w:val="00D32957"/>
    <w:rsid w:val="00D34416"/>
    <w:rsid w:val="00D3557C"/>
    <w:rsid w:val="00D374D4"/>
    <w:rsid w:val="00D40F18"/>
    <w:rsid w:val="00D6030B"/>
    <w:rsid w:val="00D61345"/>
    <w:rsid w:val="00D66D3F"/>
    <w:rsid w:val="00D67F56"/>
    <w:rsid w:val="00D822FC"/>
    <w:rsid w:val="00D841FF"/>
    <w:rsid w:val="00D9537F"/>
    <w:rsid w:val="00DB4F39"/>
    <w:rsid w:val="00DB66D7"/>
    <w:rsid w:val="00DC4429"/>
    <w:rsid w:val="00DC5DFF"/>
    <w:rsid w:val="00DE5306"/>
    <w:rsid w:val="00E07858"/>
    <w:rsid w:val="00E1242F"/>
    <w:rsid w:val="00E22530"/>
    <w:rsid w:val="00E25D8F"/>
    <w:rsid w:val="00E3425C"/>
    <w:rsid w:val="00E41F18"/>
    <w:rsid w:val="00E42E44"/>
    <w:rsid w:val="00E574DB"/>
    <w:rsid w:val="00E74378"/>
    <w:rsid w:val="00E773A1"/>
    <w:rsid w:val="00E77C27"/>
    <w:rsid w:val="00E9540B"/>
    <w:rsid w:val="00EB1821"/>
    <w:rsid w:val="00EB527E"/>
    <w:rsid w:val="00EB6336"/>
    <w:rsid w:val="00ED56FC"/>
    <w:rsid w:val="00ED6308"/>
    <w:rsid w:val="00EF36F2"/>
    <w:rsid w:val="00F07C18"/>
    <w:rsid w:val="00F20D83"/>
    <w:rsid w:val="00F210BA"/>
    <w:rsid w:val="00F353D9"/>
    <w:rsid w:val="00F3688E"/>
    <w:rsid w:val="00F42B89"/>
    <w:rsid w:val="00F446A0"/>
    <w:rsid w:val="00F44F79"/>
    <w:rsid w:val="00F63A6F"/>
    <w:rsid w:val="00F66288"/>
    <w:rsid w:val="00F76AC4"/>
    <w:rsid w:val="00F76CA6"/>
    <w:rsid w:val="00F82732"/>
    <w:rsid w:val="00F96009"/>
    <w:rsid w:val="00F9676D"/>
    <w:rsid w:val="00F97FEC"/>
    <w:rsid w:val="00FA2C08"/>
    <w:rsid w:val="00FA7F3C"/>
    <w:rsid w:val="00FC0A71"/>
    <w:rsid w:val="00FD0352"/>
    <w:rsid w:val="00FE25D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4044726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16425743">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61714892">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0964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33</cp:revision>
  <cp:lastPrinted>2025-07-07T16:25:00Z</cp:lastPrinted>
  <dcterms:created xsi:type="dcterms:W3CDTF">2026-03-10T15:46:00Z</dcterms:created>
  <dcterms:modified xsi:type="dcterms:W3CDTF">2026-03-10T16:36:00Z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